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39" w:rsidRDefault="00A64A39">
      <w:pPr>
        <w:pStyle w:val="Header"/>
        <w:jc w:val="center"/>
        <w:rPr>
          <w:rFonts w:ascii="Arial" w:hAnsi="Arial" w:cs="Arial"/>
          <w:b/>
          <w:bCs/>
          <w:sz w:val="28"/>
        </w:rPr>
      </w:pPr>
      <w:bookmarkStart w:id="0" w:name="_GoBack"/>
      <w:bookmarkEnd w:id="0"/>
      <w:r>
        <w:rPr>
          <w:rFonts w:ascii="Arial" w:hAnsi="Arial" w:cs="Arial"/>
          <w:b/>
          <w:bCs/>
          <w:sz w:val="28"/>
        </w:rPr>
        <w:t>A Review of the Financial Reports</w:t>
      </w:r>
    </w:p>
    <w:p w:rsidR="00A64A39" w:rsidRDefault="00A64A39">
      <w:pPr>
        <w:pStyle w:val="Header"/>
        <w:jc w:val="center"/>
        <w:rPr>
          <w:rFonts w:ascii="Arial" w:hAnsi="Arial" w:cs="Arial"/>
          <w:sz w:val="20"/>
        </w:rPr>
      </w:pPr>
      <w:r>
        <w:rPr>
          <w:rFonts w:ascii="Arial" w:hAnsi="Arial" w:cs="Arial"/>
          <w:sz w:val="20"/>
        </w:rPr>
        <w:t>of</w:t>
      </w:r>
    </w:p>
    <w:p w:rsidR="002E7257" w:rsidRDefault="006447B1" w:rsidP="002E7257">
      <w:pPr>
        <w:pStyle w:val="Header"/>
        <w:jc w:val="center"/>
        <w:rPr>
          <w:rFonts w:ascii="Arial" w:hAnsi="Arial" w:cs="Arial"/>
          <w:b/>
          <w:bCs/>
        </w:rPr>
      </w:pPr>
      <w:r>
        <w:rPr>
          <w:rFonts w:ascii="Arial" w:hAnsi="Arial" w:cs="Arial"/>
          <w:b/>
          <w:bCs/>
        </w:rPr>
        <w:t xml:space="preserve">Lansing Community </w:t>
      </w:r>
      <w:r w:rsidR="002E7257">
        <w:rPr>
          <w:rFonts w:ascii="Arial" w:hAnsi="Arial" w:cs="Arial"/>
          <w:b/>
          <w:bCs/>
        </w:rPr>
        <w:t>College</w:t>
      </w:r>
    </w:p>
    <w:p w:rsidR="00A64A39" w:rsidRDefault="00CD396D">
      <w:pPr>
        <w:pStyle w:val="Header"/>
        <w:tabs>
          <w:tab w:val="clear" w:pos="4320"/>
          <w:tab w:val="clear" w:pos="8640"/>
        </w:tabs>
        <w:jc w:val="center"/>
        <w:rPr>
          <w:rFonts w:ascii="Arial" w:hAnsi="Arial" w:cs="Arial"/>
        </w:rPr>
      </w:pPr>
      <w:r>
        <w:rPr>
          <w:rFonts w:ascii="Arial" w:hAnsi="Arial" w:cs="Arial"/>
        </w:rPr>
        <w:t>2012 to 2016</w:t>
      </w:r>
    </w:p>
    <w:p w:rsidR="00A64A39" w:rsidRDefault="00A64A39">
      <w:pPr>
        <w:pStyle w:val="Header"/>
        <w:tabs>
          <w:tab w:val="clear" w:pos="4320"/>
          <w:tab w:val="clear" w:pos="8640"/>
        </w:tabs>
      </w:pPr>
    </w:p>
    <w:p w:rsidR="00A64A39" w:rsidRDefault="00A64A39">
      <w:r>
        <w:t xml:space="preserve">This analysis is based on a review of the audited financial statements for </w:t>
      </w:r>
      <w:r w:rsidR="006447B1">
        <w:t>Lansing Community College</w:t>
      </w:r>
      <w:r w:rsidR="002E7257">
        <w:t xml:space="preserve"> (</w:t>
      </w:r>
      <w:r w:rsidR="006447B1">
        <w:t>LCC</w:t>
      </w:r>
      <w:r w:rsidR="002E7257">
        <w:t>)</w:t>
      </w:r>
      <w:r w:rsidR="00142D2D">
        <w:t xml:space="preserve"> </w:t>
      </w:r>
      <w:r w:rsidR="00DE1B78">
        <w:t>dated June 30, 201</w:t>
      </w:r>
      <w:r w:rsidR="00CD396D">
        <w:t>2</w:t>
      </w:r>
      <w:r w:rsidR="00C60568">
        <w:t xml:space="preserve"> through 201</w:t>
      </w:r>
      <w:r w:rsidR="00CD396D">
        <w:t>6</w:t>
      </w:r>
      <w:r>
        <w:t xml:space="preserve">. These audits were prepared according to the Governmental Accounting Standards Board (GASB). The following notes refer </w:t>
      </w:r>
      <w:r w:rsidR="00E3170A">
        <w:t>to the enclosed “</w:t>
      </w:r>
      <w:r w:rsidR="006447B1">
        <w:t>LCC</w:t>
      </w:r>
      <w:r w:rsidR="00E3170A">
        <w:t xml:space="preserve"> </w:t>
      </w:r>
      <w:r w:rsidR="00627C70">
        <w:t>2016</w:t>
      </w:r>
      <w:r w:rsidR="008B3FBC">
        <w:t>.</w:t>
      </w:r>
      <w:r w:rsidR="00DD6462">
        <w:t>”</w:t>
      </w:r>
    </w:p>
    <w:p w:rsidR="00A64A39" w:rsidRDefault="00A64A39"/>
    <w:p w:rsidR="00A64A39" w:rsidRPr="00E422F3" w:rsidRDefault="00E422F3">
      <w:pPr>
        <w:rPr>
          <w:rFonts w:ascii="Arial" w:hAnsi="Arial" w:cs="Arial"/>
          <w:b/>
        </w:rPr>
      </w:pPr>
      <w:r w:rsidRPr="00E422F3">
        <w:rPr>
          <w:rFonts w:ascii="Arial" w:hAnsi="Arial" w:cs="Arial"/>
          <w:b/>
        </w:rPr>
        <w:t xml:space="preserve">Revenues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64A39" w:rsidRPr="00E422F3">
        <w:rPr>
          <w:rFonts w:ascii="Arial" w:hAnsi="Arial" w:cs="Arial"/>
          <w:b/>
          <w:sz w:val="18"/>
        </w:rPr>
        <w:t>Page 1</w:t>
      </w:r>
    </w:p>
    <w:p w:rsidR="00D21C09" w:rsidRDefault="00DD06AF">
      <w:pPr>
        <w:rPr>
          <w:iCs/>
        </w:rPr>
      </w:pPr>
      <w:r>
        <w:rPr>
          <w:i/>
          <w:iCs/>
        </w:rPr>
        <w:t>Revenues</w:t>
      </w:r>
      <w:r>
        <w:t xml:space="preserve"> details revenue sources with the relative percentages displayed to the right.</w:t>
      </w:r>
      <w:r w:rsidR="006F4642">
        <w:t xml:space="preserve"> S</w:t>
      </w:r>
      <w:r w:rsidR="00DE680F">
        <w:rPr>
          <w:iCs/>
        </w:rPr>
        <w:t>ince 201</w:t>
      </w:r>
      <w:r w:rsidR="00CD396D">
        <w:rPr>
          <w:iCs/>
        </w:rPr>
        <w:t xml:space="preserve">2 </w:t>
      </w:r>
      <w:r>
        <w:rPr>
          <w:iCs/>
        </w:rPr>
        <w:t xml:space="preserve">revenues </w:t>
      </w:r>
      <w:r w:rsidR="00DE680F">
        <w:rPr>
          <w:iCs/>
        </w:rPr>
        <w:t xml:space="preserve">have </w:t>
      </w:r>
      <w:r w:rsidR="006F4642">
        <w:rPr>
          <w:iCs/>
        </w:rPr>
        <w:t>show</w:t>
      </w:r>
      <w:r w:rsidR="00DE680F">
        <w:rPr>
          <w:iCs/>
        </w:rPr>
        <w:t>n</w:t>
      </w:r>
      <w:r w:rsidR="006F4642">
        <w:rPr>
          <w:iCs/>
        </w:rPr>
        <w:t xml:space="preserve"> </w:t>
      </w:r>
      <w:r w:rsidR="00CD396D">
        <w:rPr>
          <w:iCs/>
        </w:rPr>
        <w:t>more than a $12 million decrease, due to a $14.4</w:t>
      </w:r>
      <w:r w:rsidR="009A02A2">
        <w:rPr>
          <w:iCs/>
        </w:rPr>
        <w:t xml:space="preserve"> </w:t>
      </w:r>
      <w:r w:rsidR="006F4642">
        <w:rPr>
          <w:iCs/>
        </w:rPr>
        <w:t xml:space="preserve">million </w:t>
      </w:r>
      <w:r w:rsidR="00CD396D">
        <w:rPr>
          <w:iCs/>
        </w:rPr>
        <w:t>cut in Pell Grants</w:t>
      </w:r>
      <w:r w:rsidR="006F4642">
        <w:rPr>
          <w:iCs/>
        </w:rPr>
        <w:t xml:space="preserve">. </w:t>
      </w:r>
      <w:r w:rsidR="00DE680F">
        <w:rPr>
          <w:iCs/>
        </w:rPr>
        <w:t>State Appropriations</w:t>
      </w:r>
      <w:r w:rsidR="002D1EF9">
        <w:rPr>
          <w:iCs/>
        </w:rPr>
        <w:t xml:space="preserve"> is an increasingly important revenue </w:t>
      </w:r>
      <w:r w:rsidR="009A02A2">
        <w:rPr>
          <w:iCs/>
        </w:rPr>
        <w:t>so</w:t>
      </w:r>
      <w:r w:rsidR="00CD396D">
        <w:rPr>
          <w:iCs/>
        </w:rPr>
        <w:t>urce and one that increased $5.1 million since 2012</w:t>
      </w:r>
      <w:r w:rsidR="002D1EF9">
        <w:rPr>
          <w:iCs/>
        </w:rPr>
        <w:t>:</w:t>
      </w:r>
    </w:p>
    <w:p w:rsidR="002D1EF9" w:rsidRDefault="002D1EF9">
      <w:pPr>
        <w:rPr>
          <w:iCs/>
        </w:rPr>
      </w:pPr>
    </w:p>
    <w:p w:rsidR="00DE680F" w:rsidRPr="009A02A2" w:rsidRDefault="00DE680F" w:rsidP="002D1EF9">
      <w:pPr>
        <w:tabs>
          <w:tab w:val="decimal" w:pos="3690"/>
        </w:tabs>
        <w:rPr>
          <w:rFonts w:ascii="Arial" w:hAnsi="Arial" w:cs="Arial"/>
          <w:b/>
          <w:sz w:val="22"/>
        </w:rPr>
      </w:pPr>
      <w:r w:rsidRPr="009A02A2">
        <w:rPr>
          <w:rFonts w:ascii="Arial" w:hAnsi="Arial" w:cs="Arial"/>
          <w:b/>
          <w:sz w:val="22"/>
        </w:rPr>
        <w:t>Chan</w:t>
      </w:r>
      <w:r w:rsidR="00CD396D">
        <w:rPr>
          <w:rFonts w:ascii="Arial" w:hAnsi="Arial" w:cs="Arial"/>
          <w:b/>
          <w:sz w:val="22"/>
        </w:rPr>
        <w:t>ge in Revenue Sources Since 2012</w:t>
      </w:r>
    </w:p>
    <w:p w:rsidR="009A02A2" w:rsidRPr="00DE680F" w:rsidRDefault="009A02A2" w:rsidP="002D1EF9">
      <w:pPr>
        <w:tabs>
          <w:tab w:val="decimal" w:pos="3690"/>
        </w:tabs>
        <w:rPr>
          <w:b/>
        </w:rPr>
      </w:pPr>
    </w:p>
    <w:p w:rsidR="00CD396D" w:rsidRDefault="00CD396D" w:rsidP="00CD396D">
      <w:pPr>
        <w:tabs>
          <w:tab w:val="left" w:pos="2610"/>
        </w:tabs>
        <w:contextualSpacing/>
      </w:pPr>
      <w:r>
        <w:t>Tuition and fees</w:t>
      </w:r>
      <w:r>
        <w:tab/>
      </w:r>
      <w:r w:rsidRPr="00C766FB">
        <w:t>($1,762,424)</w:t>
      </w:r>
    </w:p>
    <w:p w:rsidR="00CD396D" w:rsidRDefault="00CD396D" w:rsidP="00CD396D">
      <w:pPr>
        <w:tabs>
          <w:tab w:val="left" w:pos="2610"/>
        </w:tabs>
        <w:contextualSpacing/>
      </w:pPr>
      <w:r>
        <w:t>Federal grants</w:t>
      </w:r>
      <w:r>
        <w:tab/>
      </w:r>
      <w:r w:rsidRPr="00C766FB">
        <w:t>($1,054,855)</w:t>
      </w:r>
    </w:p>
    <w:p w:rsidR="00CD396D" w:rsidRDefault="00CD396D" w:rsidP="00CD396D">
      <w:pPr>
        <w:tabs>
          <w:tab w:val="left" w:pos="2610"/>
        </w:tabs>
        <w:contextualSpacing/>
      </w:pPr>
      <w:r>
        <w:t>State grants</w:t>
      </w:r>
      <w:r>
        <w:tab/>
      </w:r>
      <w:r w:rsidRPr="00C766FB">
        <w:t>$390,794</w:t>
      </w:r>
    </w:p>
    <w:p w:rsidR="00CD396D" w:rsidRDefault="00CD396D" w:rsidP="00CD396D">
      <w:pPr>
        <w:tabs>
          <w:tab w:val="left" w:pos="2610"/>
        </w:tabs>
        <w:contextualSpacing/>
      </w:pPr>
      <w:r>
        <w:t>Local grants</w:t>
      </w:r>
      <w:r>
        <w:tab/>
      </w:r>
      <w:r w:rsidRPr="00C766FB">
        <w:t>($346,577)</w:t>
      </w:r>
    </w:p>
    <w:p w:rsidR="00CD396D" w:rsidRDefault="00CD396D" w:rsidP="00CD396D">
      <w:pPr>
        <w:tabs>
          <w:tab w:val="left" w:pos="2610"/>
        </w:tabs>
        <w:contextualSpacing/>
      </w:pPr>
      <w:r>
        <w:t xml:space="preserve">Sales, </w:t>
      </w:r>
      <w:proofErr w:type="spellStart"/>
      <w:proofErr w:type="gramStart"/>
      <w:r>
        <w:t>ed</w:t>
      </w:r>
      <w:proofErr w:type="spellEnd"/>
      <w:proofErr w:type="gramEnd"/>
      <w:r>
        <w:t xml:space="preserve"> active</w:t>
      </w:r>
      <w:r>
        <w:tab/>
      </w:r>
      <w:r w:rsidRPr="00C766FB">
        <w:t>($1,054,328)</w:t>
      </w:r>
    </w:p>
    <w:p w:rsidR="00CD396D" w:rsidRDefault="00CD396D" w:rsidP="00CD396D">
      <w:pPr>
        <w:tabs>
          <w:tab w:val="left" w:pos="2610"/>
        </w:tabs>
        <w:contextualSpacing/>
      </w:pPr>
      <w:r>
        <w:t>Sales, auxiliary active</w:t>
      </w:r>
      <w:r>
        <w:tab/>
      </w:r>
      <w:r w:rsidRPr="00C766FB">
        <w:t>($2,102,089)</w:t>
      </w:r>
    </w:p>
    <w:p w:rsidR="00CD396D" w:rsidRDefault="00CD396D" w:rsidP="00CD396D">
      <w:pPr>
        <w:tabs>
          <w:tab w:val="left" w:pos="2610"/>
        </w:tabs>
        <w:contextualSpacing/>
      </w:pPr>
      <w:r>
        <w:t>Job training</w:t>
      </w:r>
      <w:r>
        <w:tab/>
      </w:r>
      <w:r w:rsidRPr="00C766FB">
        <w:t>($498,205)</w:t>
      </w:r>
    </w:p>
    <w:p w:rsidR="00CD396D" w:rsidRDefault="00CD396D" w:rsidP="00CD396D">
      <w:pPr>
        <w:tabs>
          <w:tab w:val="left" w:pos="2610"/>
        </w:tabs>
        <w:contextualSpacing/>
      </w:pPr>
      <w:proofErr w:type="spellStart"/>
      <w:r>
        <w:t>Misc</w:t>
      </w:r>
      <w:proofErr w:type="spellEnd"/>
      <w:r>
        <w:tab/>
      </w:r>
      <w:r w:rsidRPr="00C766FB">
        <w:t>$4,033,565</w:t>
      </w:r>
    </w:p>
    <w:p w:rsidR="00CD396D" w:rsidRDefault="00CD396D" w:rsidP="00CD396D">
      <w:pPr>
        <w:tabs>
          <w:tab w:val="left" w:pos="2610"/>
        </w:tabs>
        <w:contextualSpacing/>
      </w:pPr>
      <w:r>
        <w:t xml:space="preserve">State </w:t>
      </w:r>
      <w:proofErr w:type="spellStart"/>
      <w:r>
        <w:t>approps</w:t>
      </w:r>
      <w:proofErr w:type="spellEnd"/>
      <w:r>
        <w:tab/>
      </w:r>
      <w:r w:rsidRPr="00C766FB">
        <w:t>$5,109,231</w:t>
      </w:r>
    </w:p>
    <w:p w:rsidR="00CD396D" w:rsidRDefault="00CD396D" w:rsidP="00CD396D">
      <w:pPr>
        <w:tabs>
          <w:tab w:val="left" w:pos="2610"/>
        </w:tabs>
        <w:contextualSpacing/>
      </w:pPr>
      <w:r>
        <w:t>Property taxes</w:t>
      </w:r>
      <w:r>
        <w:tab/>
      </w:r>
      <w:r w:rsidRPr="00C766FB">
        <w:t>$663,471</w:t>
      </w:r>
    </w:p>
    <w:p w:rsidR="00A64A39" w:rsidRDefault="00A64A39"/>
    <w:p w:rsidR="00CD396D" w:rsidRDefault="00CD396D">
      <w:r>
        <w:t xml:space="preserve">Also striking about this is the $4 million increase in miscellaneous funding. </w:t>
      </w:r>
      <w:r w:rsidR="002972F8">
        <w:t>The audit identifies the 2016 sources of this funding:</w:t>
      </w:r>
    </w:p>
    <w:p w:rsidR="002972F8" w:rsidRDefault="002972F8"/>
    <w:p w:rsidR="002972F8" w:rsidRDefault="002972F8" w:rsidP="002972F8">
      <w:pPr>
        <w:ind w:left="720"/>
      </w:pPr>
      <w:r>
        <w:t>…unanticipated revenues from several programs including the High School Advantage, MAT2, RESA contracts, and the increased administrative fee earned as a result of the increase in the Michigan New Job Training Program activity.</w:t>
      </w:r>
      <w:r w:rsidRPr="002972F8">
        <w:t xml:space="preserve"> </w:t>
      </w:r>
      <w:r>
        <w:t>(2016 Audit Page 18)</w:t>
      </w:r>
    </w:p>
    <w:p w:rsidR="00CD396D" w:rsidRDefault="00CD396D"/>
    <w:p w:rsidR="00A64A39" w:rsidRDefault="00A64A39">
      <w:r>
        <w:t xml:space="preserve">GASB introduced the concept of operating vs. non-operating revenues, which is entirely responsible for the </w:t>
      </w:r>
      <w:proofErr w:type="gramStart"/>
      <w:r>
        <w:t>school’s</w:t>
      </w:r>
      <w:proofErr w:type="gramEnd"/>
      <w:r>
        <w:t xml:space="preserve"> “operating loss” </w:t>
      </w:r>
      <w:r w:rsidR="002D1EF9">
        <w:t>(see page 2</w:t>
      </w:r>
      <w:r w:rsidR="002972F8">
        <w:t>7</w:t>
      </w:r>
      <w:r w:rsidR="005561A0">
        <w:t xml:space="preserve"> of the 201</w:t>
      </w:r>
      <w:r w:rsidR="002972F8">
        <w:t>6</w:t>
      </w:r>
      <w:r w:rsidR="00F30B8D">
        <w:t xml:space="preserve"> audit). </w:t>
      </w:r>
      <w:r>
        <w:t xml:space="preserve">Every school in the state of Michigan and probably the nation now shows an operating loss. This is due to the removal of </w:t>
      </w:r>
      <w:r w:rsidR="002972F8">
        <w:t>three</w:t>
      </w:r>
      <w:r>
        <w:t xml:space="preserve"> of the school’s most important revenue so</w:t>
      </w:r>
      <w:r w:rsidR="003345C4">
        <w:t>urces, state appropriations</w:t>
      </w:r>
      <w:r w:rsidR="00142D2D">
        <w:t xml:space="preserve"> </w:t>
      </w:r>
      <w:r w:rsidR="002972F8">
        <w:t xml:space="preserve">Pell grants </w:t>
      </w:r>
      <w:r w:rsidR="00142D2D">
        <w:t>and property taxes,</w:t>
      </w:r>
      <w:r>
        <w:t xml:space="preserve"> from the operating revenues list. </w:t>
      </w:r>
      <w:r w:rsidR="00142D2D">
        <w:t>Only after the operating loss is calculated are these revenue sources listed (as “Non</w:t>
      </w:r>
      <w:r w:rsidR="00D21C09">
        <w:t>-</w:t>
      </w:r>
      <w:r w:rsidR="00142D2D">
        <w:t xml:space="preserve">operating Revenues”). </w:t>
      </w:r>
      <w:r>
        <w:t xml:space="preserve">Also contributing to this </w:t>
      </w:r>
      <w:r w:rsidR="002972F8">
        <w:t xml:space="preserve">illusory </w:t>
      </w:r>
      <w:r>
        <w:t>loss is the introduction of Depreciation as an operating expense, although it involves no actual expenditure of funds</w:t>
      </w:r>
      <w:r w:rsidR="002B024A">
        <w:t xml:space="preserve"> (See “A Word </w:t>
      </w:r>
      <w:proofErr w:type="gramStart"/>
      <w:r w:rsidR="002B024A">
        <w:t>About</w:t>
      </w:r>
      <w:proofErr w:type="gramEnd"/>
      <w:r w:rsidR="002B024A">
        <w:t xml:space="preserve"> Depreciation” near the end of this </w:t>
      </w:r>
      <w:r w:rsidR="00DD6462" w:rsidRPr="00DD6462">
        <w:t>analysis</w:t>
      </w:r>
      <w:r w:rsidR="002B024A">
        <w:t>)</w:t>
      </w:r>
      <w:r>
        <w:t xml:space="preserve">. </w:t>
      </w:r>
    </w:p>
    <w:p w:rsidR="00CA2D9E" w:rsidRDefault="00CA2D9E"/>
    <w:p w:rsidR="00CA2D9E" w:rsidRDefault="00CA2D9E" w:rsidP="00CA2D9E">
      <w:r>
        <w:lastRenderedPageBreak/>
        <w:t xml:space="preserve">This distinction between “operating” and “non-operating” revenues causes great </w:t>
      </w:r>
      <w:r w:rsidR="00DE1B78">
        <w:t>confusion thanks to the counter-</w:t>
      </w:r>
      <w:r>
        <w:t>intuitive classification of state appropriations</w:t>
      </w:r>
      <w:r w:rsidR="00AC38ED">
        <w:t xml:space="preserve"> and property taxes</w:t>
      </w:r>
      <w:r w:rsidR="00DE1B78">
        <w:t xml:space="preserve"> in the Non-</w:t>
      </w:r>
      <w:r>
        <w:t xml:space="preserve">operating revenue list. Because </w:t>
      </w:r>
      <w:r w:rsidR="008B3FBC">
        <w:t>the</w:t>
      </w:r>
      <w:r w:rsidR="003345C4">
        <w:t>s</w:t>
      </w:r>
      <w:r w:rsidR="008B3FBC">
        <w:t>e</w:t>
      </w:r>
      <w:r w:rsidR="003345C4">
        <w:t xml:space="preserve"> </w:t>
      </w:r>
      <w:r w:rsidR="00DE1B78">
        <w:t>funds</w:t>
      </w:r>
      <w:r w:rsidR="008B3FBC">
        <w:t xml:space="preserve"> are</w:t>
      </w:r>
      <w:r>
        <w:t xml:space="preserve"> </w:t>
      </w:r>
      <w:r w:rsidR="00DE1B78">
        <w:t xml:space="preserve">actually </w:t>
      </w:r>
      <w:r>
        <w:t>used for school operations, I’ve calcul</w:t>
      </w:r>
      <w:r w:rsidR="00DD06AF">
        <w:t>ated a revenue total shown as “</w:t>
      </w:r>
      <w:r w:rsidR="002972F8" w:rsidRPr="002972F8">
        <w:t>Revenues for Operations</w:t>
      </w:r>
      <w:r>
        <w:t xml:space="preserve">” which is intended to give the reader an opportunity to monitor </w:t>
      </w:r>
      <w:r w:rsidR="003345C4">
        <w:t xml:space="preserve">all of the </w:t>
      </w:r>
      <w:r>
        <w:t>revenue</w:t>
      </w:r>
      <w:r w:rsidR="003345C4">
        <w:t>s</w:t>
      </w:r>
      <w:r>
        <w:t xml:space="preserve"> used to fund operations. </w:t>
      </w:r>
    </w:p>
    <w:p w:rsidR="00F30B8D" w:rsidRDefault="00F30B8D"/>
    <w:p w:rsidR="00E422F3" w:rsidRPr="00E422F3" w:rsidRDefault="00E422F3" w:rsidP="00E422F3">
      <w:pPr>
        <w:rPr>
          <w:rFonts w:ascii="Arial" w:hAnsi="Arial" w:cs="Arial"/>
          <w:b/>
        </w:rPr>
      </w:pPr>
      <w:r>
        <w:rPr>
          <w:rFonts w:ascii="Arial" w:hAnsi="Arial" w:cs="Arial"/>
          <w:b/>
        </w:rPr>
        <w:t>Expenses</w:t>
      </w:r>
      <w:r w:rsidRPr="00E422F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422F3">
        <w:rPr>
          <w:rFonts w:ascii="Arial" w:hAnsi="Arial" w:cs="Arial"/>
          <w:b/>
          <w:sz w:val="18"/>
        </w:rPr>
        <w:t xml:space="preserve">Page </w:t>
      </w:r>
      <w:r>
        <w:rPr>
          <w:rFonts w:ascii="Arial" w:hAnsi="Arial" w:cs="Arial"/>
          <w:b/>
          <w:sz w:val="18"/>
        </w:rPr>
        <w:t>2</w:t>
      </w:r>
    </w:p>
    <w:p w:rsidR="00A64A39" w:rsidRDefault="00A64A39">
      <w:r>
        <w:rPr>
          <w:i/>
          <w:iCs/>
        </w:rPr>
        <w:t>Expenses</w:t>
      </w:r>
      <w:r>
        <w:t xml:space="preserve"> shows the school</w:t>
      </w:r>
      <w:r w:rsidR="00AC38ED">
        <w:t>’</w:t>
      </w:r>
      <w:r>
        <w:t xml:space="preserve">s </w:t>
      </w:r>
      <w:r w:rsidR="002E7257">
        <w:t>spending</w:t>
      </w:r>
      <w:r>
        <w:t xml:space="preserve"> for various purposes, with the relative percentages displayed below. </w:t>
      </w:r>
      <w:r w:rsidR="00DD6462">
        <w:t>T</w:t>
      </w:r>
      <w:r w:rsidR="00AC38ED">
        <w:t>he upper right hand graph</w:t>
      </w:r>
      <w:r w:rsidR="00203F9E">
        <w:t>ic</w:t>
      </w:r>
      <w:r w:rsidR="00DE1B78">
        <w:t xml:space="preserve"> shows </w:t>
      </w:r>
      <w:r w:rsidR="002E7257">
        <w:t xml:space="preserve">revenues </w:t>
      </w:r>
      <w:r w:rsidR="0053143D">
        <w:t>closely followed spending</w:t>
      </w:r>
      <w:r w:rsidR="00454D63">
        <w:t xml:space="preserve"> during this period. Instruction </w:t>
      </w:r>
      <w:r w:rsidR="005561A0">
        <w:t xml:space="preserve">spending </w:t>
      </w:r>
      <w:r w:rsidR="0053143D">
        <w:t>remained flat</w:t>
      </w:r>
      <w:r w:rsidR="002E7257">
        <w:t xml:space="preserve"> </w:t>
      </w:r>
      <w:r w:rsidR="00E422F3">
        <w:t>while spending</w:t>
      </w:r>
      <w:r w:rsidR="005561A0">
        <w:t xml:space="preserve"> </w:t>
      </w:r>
      <w:r w:rsidR="00E422F3">
        <w:t xml:space="preserve">on </w:t>
      </w:r>
      <w:r w:rsidR="005561A0">
        <w:t xml:space="preserve">administration </w:t>
      </w:r>
      <w:r w:rsidR="00C83B59">
        <w:t>increased</w:t>
      </w:r>
      <w:r w:rsidR="002972F8">
        <w:t xml:space="preserve"> a great deal</w:t>
      </w:r>
      <w:r w:rsidR="005561A0">
        <w:t>.</w:t>
      </w:r>
      <w:r w:rsidR="002972F8">
        <w:t xml:space="preserve"> Its share of total expenses increased from just 8.7% to over 15% during</w:t>
      </w:r>
      <w:r w:rsidR="008B2E42">
        <w:t xml:space="preserve"> </w:t>
      </w:r>
      <w:r w:rsidR="002972F8">
        <w:t>a period where the share devoted to Instruction fell from 35.3% to 34%.</w:t>
      </w:r>
      <w:r w:rsidR="005561A0">
        <w:t xml:space="preserve"> </w:t>
      </w:r>
      <w:r w:rsidR="002B024A">
        <w:t xml:space="preserve">The last page of this </w:t>
      </w:r>
      <w:r w:rsidR="00DD6462" w:rsidRPr="00DD6462">
        <w:t>analysis</w:t>
      </w:r>
      <w:r>
        <w:t xml:space="preserve">, </w:t>
      </w:r>
      <w:r>
        <w:rPr>
          <w:i/>
          <w:iCs/>
        </w:rPr>
        <w:t>Typical Expense Categories Described,</w:t>
      </w:r>
      <w:r>
        <w:t xml:space="preserve"> gives some detail </w:t>
      </w:r>
      <w:r w:rsidR="002B024A">
        <w:t>of</w:t>
      </w:r>
      <w:r>
        <w:t xml:space="preserve"> the programs supported by each expense category.</w:t>
      </w:r>
    </w:p>
    <w:p w:rsidR="00A64A39" w:rsidRDefault="00A64A39"/>
    <w:p w:rsidR="00E422F3" w:rsidRDefault="00E422F3" w:rsidP="00E422F3">
      <w:pPr>
        <w:rPr>
          <w:rFonts w:ascii="Arial" w:hAnsi="Arial" w:cs="Arial"/>
          <w:b/>
          <w:sz w:val="18"/>
        </w:rPr>
      </w:pPr>
      <w:r>
        <w:rPr>
          <w:rFonts w:ascii="Arial" w:hAnsi="Arial" w:cs="Arial"/>
          <w:b/>
        </w:rPr>
        <w:t>Assets</w:t>
      </w:r>
      <w:r w:rsidRPr="00E422F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422F3">
        <w:rPr>
          <w:rFonts w:ascii="Arial" w:hAnsi="Arial" w:cs="Arial"/>
          <w:b/>
          <w:sz w:val="18"/>
        </w:rPr>
        <w:t xml:space="preserve">Page </w:t>
      </w:r>
      <w:r>
        <w:rPr>
          <w:rFonts w:ascii="Arial" w:hAnsi="Arial" w:cs="Arial"/>
          <w:b/>
          <w:sz w:val="18"/>
        </w:rPr>
        <w:t>3</w:t>
      </w:r>
    </w:p>
    <w:p w:rsidR="002279C3" w:rsidRDefault="002279C3" w:rsidP="00E422F3">
      <w:pPr>
        <w:rPr>
          <w:rFonts w:ascii="Arial" w:hAnsi="Arial" w:cs="Arial"/>
          <w:b/>
          <w:sz w:val="18"/>
        </w:rPr>
      </w:pPr>
    </w:p>
    <w:p w:rsidR="002279C3" w:rsidRDefault="002279C3" w:rsidP="002279C3">
      <w:r>
        <w:t>A recent change in accounting rules, GASB 68, requires college audits include each school’s share of the state’s MPSERS long term liability</w:t>
      </w:r>
      <w:r w:rsidR="000B4129">
        <w:t>. For LCC, this means a new $131</w:t>
      </w:r>
      <w:r>
        <w:t xml:space="preserve"> million debt. This change has a massive effect on the college’s </w:t>
      </w:r>
      <w:r w:rsidR="00DD4D96">
        <w:t>financial statements, but not on its financial condition:</w:t>
      </w:r>
    </w:p>
    <w:p w:rsidR="002279C3" w:rsidRDefault="002279C3" w:rsidP="002279C3"/>
    <w:p w:rsidR="002279C3" w:rsidRDefault="002279C3" w:rsidP="002279C3">
      <w:pPr>
        <w:autoSpaceDE w:val="0"/>
        <w:autoSpaceDN w:val="0"/>
        <w:adjustRightInd w:val="0"/>
      </w:pPr>
      <w:r>
        <w:t>“While the implementation of GASB 68 impacted total net position, it did not have any impact on the College’s cash flows or operating budgets.”</w:t>
      </w:r>
      <w:r w:rsidRPr="00264287">
        <w:t xml:space="preserve"> </w:t>
      </w:r>
      <w:r w:rsidR="00DD4D96">
        <w:t>(</w:t>
      </w:r>
      <w:r w:rsidR="000B4129">
        <w:t>2016</w:t>
      </w:r>
      <w:r>
        <w:t xml:space="preserve"> Audit Page 13</w:t>
      </w:r>
      <w:r w:rsidR="00DD4D96">
        <w:t>)</w:t>
      </w:r>
    </w:p>
    <w:p w:rsidR="002279C3" w:rsidRPr="002279C3" w:rsidRDefault="002279C3" w:rsidP="002279C3"/>
    <w:p w:rsidR="00FA58BF" w:rsidRDefault="00A64A39" w:rsidP="002B024A">
      <w:r>
        <w:rPr>
          <w:i/>
          <w:iCs/>
        </w:rPr>
        <w:t xml:space="preserve">Revenue </w:t>
      </w:r>
      <w:r w:rsidR="000B4129">
        <w:rPr>
          <w:i/>
          <w:iCs/>
        </w:rPr>
        <w:t xml:space="preserve">for Operations </w:t>
      </w:r>
      <w:r>
        <w:rPr>
          <w:i/>
          <w:iCs/>
        </w:rPr>
        <w:t>over Expenses</w:t>
      </w:r>
      <w:r>
        <w:t xml:space="preserve"> </w:t>
      </w:r>
      <w:r w:rsidR="00DA2B70">
        <w:t>expresses</w:t>
      </w:r>
      <w:r>
        <w:t xml:space="preserve"> the extent to which the school raised more money than it spent on operations. The percentage below each </w:t>
      </w:r>
      <w:r w:rsidR="002614E7">
        <w:t xml:space="preserve">figure </w:t>
      </w:r>
      <w:r>
        <w:t>show</w:t>
      </w:r>
      <w:r w:rsidR="002B024A">
        <w:t>s</w:t>
      </w:r>
      <w:r>
        <w:t xml:space="preserve"> year to year change</w:t>
      </w:r>
      <w:r w:rsidR="002614E7">
        <w:t>s</w:t>
      </w:r>
      <w:r>
        <w:t xml:space="preserve">. </w:t>
      </w:r>
      <w:r w:rsidR="005561A0">
        <w:t>Most colleges show a year or two where</w:t>
      </w:r>
      <w:r w:rsidR="0062493C">
        <w:t xml:space="preserve"> expenses </w:t>
      </w:r>
      <w:r w:rsidR="005561A0">
        <w:t>exceeded revenues.</w:t>
      </w:r>
      <w:r w:rsidR="00FA58BF">
        <w:t xml:space="preserve"> </w:t>
      </w:r>
    </w:p>
    <w:p w:rsidR="00FA58BF" w:rsidRDefault="00FA58BF" w:rsidP="002B024A"/>
    <w:p w:rsidR="0062493C" w:rsidRDefault="00855A1B" w:rsidP="002B024A">
      <w:r>
        <w:t xml:space="preserve">The audit does suggest LCC </w:t>
      </w:r>
      <w:r w:rsidR="00DA2B70">
        <w:t>acquisition of capital assets (buildings to books) is running below long term averages</w:t>
      </w:r>
      <w:r>
        <w:t>.</w:t>
      </w:r>
      <w:r w:rsidR="00153389">
        <w:t xml:space="preserve"> </w:t>
      </w:r>
      <w:r w:rsidR="008B3FBC">
        <w:t xml:space="preserve">(See “A Word </w:t>
      </w:r>
      <w:proofErr w:type="gramStart"/>
      <w:r w:rsidR="008B3FBC">
        <w:t>About</w:t>
      </w:r>
      <w:proofErr w:type="gramEnd"/>
      <w:r w:rsidR="008B3FBC">
        <w:t xml:space="preserve"> Depreciation” near the end of this Review).</w:t>
      </w:r>
    </w:p>
    <w:p w:rsidR="00A64A39" w:rsidRDefault="00A64A39"/>
    <w:p w:rsidR="004B6504" w:rsidRDefault="00A64A39">
      <w:r>
        <w:rPr>
          <w:i/>
          <w:iCs/>
        </w:rPr>
        <w:t xml:space="preserve">Unrestricted Assets as a Percentage of Total Expenses </w:t>
      </w:r>
      <w:r>
        <w:t>express</w:t>
      </w:r>
      <w:r w:rsidR="00DD6462">
        <w:t>es</w:t>
      </w:r>
      <w:r>
        <w:t xml:space="preserve"> the relative size of the school’s unrestricted assets. Unrestricted assets are those that come to the school unencumbered</w:t>
      </w:r>
      <w:r w:rsidR="00E30009">
        <w:t xml:space="preserve"> (state appropriations and tuition, for example)</w:t>
      </w:r>
      <w:r>
        <w:t>, that the Board can s</w:t>
      </w:r>
      <w:r w:rsidR="002614E7">
        <w:t xml:space="preserve">pend at </w:t>
      </w:r>
      <w:r w:rsidR="00154750">
        <w:t>its</w:t>
      </w:r>
      <w:r w:rsidR="002614E7">
        <w:t xml:space="preserve"> discretion</w:t>
      </w:r>
      <w:r w:rsidR="00E30009">
        <w:t>, including on pay increases</w:t>
      </w:r>
      <w:r w:rsidR="002614E7">
        <w:t xml:space="preserve">. </w:t>
      </w:r>
      <w:r w:rsidR="000A3763">
        <w:t>In 2014</w:t>
      </w:r>
      <w:r>
        <w:t xml:space="preserve">, these assets </w:t>
      </w:r>
      <w:r w:rsidR="004B6504">
        <w:t xml:space="preserve">peaked at $45.3 million and fell to 36.3 billion in 2016. </w:t>
      </w:r>
    </w:p>
    <w:p w:rsidR="00A538C2" w:rsidRDefault="004B6504">
      <w:r>
        <w:t xml:space="preserve"> </w:t>
      </w:r>
    </w:p>
    <w:p w:rsidR="00A538C2" w:rsidRDefault="00A538C2">
      <w:r>
        <w:t xml:space="preserve">Note: The audit’s </w:t>
      </w:r>
      <w:r w:rsidR="00EE7415">
        <w:t>negative</w:t>
      </w:r>
      <w:r w:rsidR="0020766D">
        <w:t xml:space="preserve"> </w:t>
      </w:r>
      <w:r>
        <w:t xml:space="preserve">Unrestricted Asset figure </w:t>
      </w:r>
      <w:r w:rsidR="0020766D">
        <w:t>shows</w:t>
      </w:r>
      <w:r>
        <w:t xml:space="preserve"> one of the effects of GASB 68. That figure is expressed as </w:t>
      </w:r>
      <w:r w:rsidR="004B6504" w:rsidRPr="004B6504">
        <w:t>(</w:t>
      </w:r>
      <w:r w:rsidR="004B6504">
        <w:t>$</w:t>
      </w:r>
      <w:r w:rsidR="004B6504" w:rsidRPr="004B6504">
        <w:t xml:space="preserve">89,673,074) </w:t>
      </w:r>
      <w:r>
        <w:t>which reflects the impact of the new MPSERS debt. (201</w:t>
      </w:r>
      <w:r w:rsidR="004B6504">
        <w:t>6 Audit Page 26</w:t>
      </w:r>
      <w:r w:rsidRPr="00A538C2">
        <w:t>)</w:t>
      </w:r>
    </w:p>
    <w:p w:rsidR="00995749" w:rsidRDefault="00995749"/>
    <w:p w:rsidR="00A64A39" w:rsidRDefault="00995749">
      <w:r>
        <w:t>When</w:t>
      </w:r>
      <w:r w:rsidR="00A64A39">
        <w:t xml:space="preserve"> this amount is compared to the school’s operating expenses (sometimes inexactly referred to as </w:t>
      </w:r>
      <w:r w:rsidR="00C93906">
        <w:t>its</w:t>
      </w:r>
      <w:r w:rsidR="00A64A39">
        <w:t xml:space="preserve"> operating budget), the relative size is expressed. This percentage effectively illustrates the percentage of the year that the school could operate without </w:t>
      </w:r>
      <w:r w:rsidR="00A64A39">
        <w:rPr>
          <w:i/>
          <w:iCs/>
        </w:rPr>
        <w:t>any</w:t>
      </w:r>
      <w:r w:rsidR="00A64A39">
        <w:t xml:space="preserve"> </w:t>
      </w:r>
      <w:r w:rsidR="00A64A39">
        <w:lastRenderedPageBreak/>
        <w:t xml:space="preserve">incoming revenues. </w:t>
      </w:r>
      <w:r w:rsidR="00DD6462">
        <w:t>It</w:t>
      </w:r>
      <w:r w:rsidR="00A64A39">
        <w:t xml:space="preserve"> addresses the reality that a given amount of money is worth more to a small school than to a larger one.</w:t>
      </w:r>
    </w:p>
    <w:p w:rsidR="00A64A39" w:rsidRDefault="00A64A39"/>
    <w:p w:rsidR="00A64A39" w:rsidRDefault="008B3FBC">
      <w:r>
        <w:t>In 201</w:t>
      </w:r>
      <w:r w:rsidR="004B6504">
        <w:t>6</w:t>
      </w:r>
      <w:r w:rsidR="00A64A39">
        <w:t xml:space="preserve">, this “fund equity” </w:t>
      </w:r>
      <w:r w:rsidR="00A538C2">
        <w:t>was</w:t>
      </w:r>
      <w:r w:rsidR="00A64A39">
        <w:t xml:space="preserve"> </w:t>
      </w:r>
      <w:r w:rsidR="004B6504">
        <w:t>36.7</w:t>
      </w:r>
      <w:r w:rsidR="00A64A39">
        <w:t xml:space="preserve">%. </w:t>
      </w:r>
      <w:r w:rsidR="00E30009">
        <w:t>LC</w:t>
      </w:r>
      <w:r w:rsidR="002E7257">
        <w:t>C</w:t>
      </w:r>
      <w:r w:rsidR="00B0658C">
        <w:t xml:space="preserve">’s </w:t>
      </w:r>
      <w:r w:rsidR="00621F8E">
        <w:t>fund equity was</w:t>
      </w:r>
      <w:r w:rsidR="00B0658C">
        <w:t xml:space="preserve"> </w:t>
      </w:r>
      <w:r w:rsidR="009A1575">
        <w:t>at about the midpoint of all</w:t>
      </w:r>
      <w:r w:rsidR="00B0658C">
        <w:t xml:space="preserve"> community college fund equities in the state. </w:t>
      </w:r>
      <w:r w:rsidR="00A64A39">
        <w:t xml:space="preserve">The K-12 average </w:t>
      </w:r>
      <w:r w:rsidR="00621F8E">
        <w:t>that</w:t>
      </w:r>
      <w:r w:rsidR="00A64A39">
        <w:t xml:space="preserve"> y</w:t>
      </w:r>
      <w:r w:rsidR="002614E7">
        <w:t xml:space="preserve">ear has been calculated to be </w:t>
      </w:r>
      <w:r w:rsidR="004119C2">
        <w:t xml:space="preserve">about </w:t>
      </w:r>
      <w:r w:rsidR="000704A0">
        <w:t>1</w:t>
      </w:r>
      <w:r w:rsidR="004B6504">
        <w:t>7</w:t>
      </w:r>
      <w:r w:rsidR="00A64A39">
        <w:t>%</w:t>
      </w:r>
      <w:r w:rsidR="000704A0">
        <w:t xml:space="preserve"> (</w:t>
      </w:r>
      <w:r>
        <w:t>a</w:t>
      </w:r>
      <w:r w:rsidR="000704A0">
        <w:t xml:space="preserve"> figure that includes a large number of deficit districts)</w:t>
      </w:r>
      <w:r w:rsidR="009B7BBD">
        <w:t xml:space="preserve">. </w:t>
      </w:r>
    </w:p>
    <w:p w:rsidR="00182691" w:rsidRDefault="00182691"/>
    <w:p w:rsidR="004E5DDD" w:rsidRDefault="0020766D" w:rsidP="00801D7F">
      <w:r>
        <w:rPr>
          <w:i/>
        </w:rPr>
        <w:t>LC</w:t>
      </w:r>
      <w:r w:rsidR="002E7257">
        <w:rPr>
          <w:i/>
        </w:rPr>
        <w:t>C</w:t>
      </w:r>
      <w:r w:rsidR="00984EF3" w:rsidRPr="00984EF3">
        <w:rPr>
          <w:i/>
        </w:rPr>
        <w:t xml:space="preserve"> Foundation</w:t>
      </w:r>
      <w:r w:rsidR="00984EF3">
        <w:t xml:space="preserve"> lists the assets for the school’s foundation. </w:t>
      </w:r>
      <w:r w:rsidR="00E00C14">
        <w:t>The amounts shown as unrestricted reflect assets available to the foundation’s board, the membership of which overlaps with, but is different than, the school’s board of directors</w:t>
      </w:r>
      <w:r w:rsidR="004E5DDD">
        <w:t>.</w:t>
      </w:r>
      <w:r w:rsidR="00F801EC">
        <w:t xml:space="preserve"> </w:t>
      </w:r>
      <w:r w:rsidR="002428BC" w:rsidRPr="002428BC">
        <w:t>As the audit points out, the foundation bylaws require that “</w:t>
      </w:r>
      <w:r w:rsidR="00801D7F">
        <w:t>The Foundation acts primarily as a fundraising organization to supplement the resources that are available to the College in support of its programs.</w:t>
      </w:r>
      <w:r w:rsidR="002428BC" w:rsidRPr="002428BC">
        <w:t>” (201</w:t>
      </w:r>
      <w:r w:rsidR="00253DAC">
        <w:t>6</w:t>
      </w:r>
      <w:r w:rsidR="00801D7F">
        <w:t xml:space="preserve"> Audit page 3</w:t>
      </w:r>
      <w:r w:rsidR="00253DAC">
        <w:t>0</w:t>
      </w:r>
      <w:r w:rsidR="002428BC" w:rsidRPr="002428BC">
        <w:t xml:space="preserve">) </w:t>
      </w:r>
      <w:r w:rsidR="00F801EC">
        <w:t xml:space="preserve">Whether these </w:t>
      </w:r>
      <w:r w:rsidR="00B0658C">
        <w:t>funds are</w:t>
      </w:r>
      <w:r w:rsidR="00E00C14">
        <w:t xml:space="preserve"> available </w:t>
      </w:r>
      <w:r w:rsidR="009440C3">
        <w:t xml:space="preserve">to it </w:t>
      </w:r>
      <w:r w:rsidR="00E00C14">
        <w:t>upon request likely depends on the degree to which the administration effectively directs the deci</w:t>
      </w:r>
      <w:r w:rsidR="00B0658C">
        <w:t>sions of the foundation’s board, something that varies from college to college.</w:t>
      </w:r>
    </w:p>
    <w:p w:rsidR="007E046F" w:rsidRDefault="007E046F"/>
    <w:p w:rsidR="007E046F" w:rsidRDefault="007E046F" w:rsidP="00332AAA">
      <w:r>
        <w:t>The unrestricte</w:t>
      </w:r>
      <w:r w:rsidR="00FA58BF">
        <w:t>d assets of the</w:t>
      </w:r>
      <w:r w:rsidR="00801D7F">
        <w:t xml:space="preserve"> LCC</w:t>
      </w:r>
      <w:r w:rsidR="00FA58BF">
        <w:t xml:space="preserve"> Foundation at the end of the 201</w:t>
      </w:r>
      <w:r w:rsidR="00253DAC">
        <w:t>6</w:t>
      </w:r>
      <w:r w:rsidR="00FA58BF">
        <w:t xml:space="preserve"> fiscal year </w:t>
      </w:r>
      <w:r w:rsidR="00126FA0">
        <w:t>amounted to</w:t>
      </w:r>
      <w:r w:rsidR="00FA58BF">
        <w:t xml:space="preserve"> </w:t>
      </w:r>
      <w:r w:rsidR="00801D7F">
        <w:t xml:space="preserve">just </w:t>
      </w:r>
      <w:r>
        <w:t>$</w:t>
      </w:r>
      <w:r w:rsidR="00253DAC">
        <w:t>100,440</w:t>
      </w:r>
      <w:r w:rsidR="000B3AB5">
        <w:t xml:space="preserve"> </w:t>
      </w:r>
      <w:r w:rsidR="00332AAA">
        <w:t>(201</w:t>
      </w:r>
      <w:r w:rsidR="00253DAC">
        <w:t>6</w:t>
      </w:r>
      <w:r w:rsidR="00332AAA">
        <w:t xml:space="preserve"> Audit page 2</w:t>
      </w:r>
      <w:r w:rsidR="00253DAC">
        <w:t>6</w:t>
      </w:r>
      <w:r>
        <w:t>).</w:t>
      </w:r>
      <w:r w:rsidR="00FA58BF">
        <w:t xml:space="preserve"> </w:t>
      </w:r>
      <w:r w:rsidR="00253DAC">
        <w:t>Most</w:t>
      </w:r>
      <w:r w:rsidR="000B3AB5">
        <w:t xml:space="preserve"> colleges have much more funding sequestered in these accounts.</w:t>
      </w:r>
    </w:p>
    <w:p w:rsidR="004E5DDD" w:rsidRDefault="004E5DDD"/>
    <w:p w:rsidR="008425C5" w:rsidRDefault="00A64A39">
      <w:r>
        <w:rPr>
          <w:i/>
          <w:iCs/>
        </w:rPr>
        <w:t>Unrestricted Net Assets</w:t>
      </w:r>
      <w:r>
        <w:t xml:space="preserve"> lists the composition of the</w:t>
      </w:r>
      <w:r w:rsidR="00B42260">
        <w:t xml:space="preserve"> school’s</w:t>
      </w:r>
      <w:r>
        <w:t xml:space="preserve"> unrestricted asset total</w:t>
      </w:r>
      <w:r w:rsidR="000B3AB5">
        <w:t xml:space="preserve"> (201</w:t>
      </w:r>
      <w:r w:rsidR="004C2DCB">
        <w:t>6</w:t>
      </w:r>
      <w:r w:rsidR="000B3AB5">
        <w:t xml:space="preserve"> Audit page 49</w:t>
      </w:r>
      <w:r w:rsidR="00B42260">
        <w:t>)</w:t>
      </w:r>
      <w:r>
        <w:t>. Note that while only $</w:t>
      </w:r>
      <w:r w:rsidR="004C2DCB">
        <w:t>20.2</w:t>
      </w:r>
      <w:r w:rsidR="000704A0">
        <w:t xml:space="preserve"> million</w:t>
      </w:r>
      <w:r>
        <w:t xml:space="preserve"> is</w:t>
      </w:r>
      <w:r w:rsidR="00B42260">
        <w:t xml:space="preserve"> shown as </w:t>
      </w:r>
      <w:r>
        <w:t>“</w:t>
      </w:r>
      <w:r w:rsidR="000704A0">
        <w:t>un</w:t>
      </w:r>
      <w:r w:rsidR="00332AAA">
        <w:t>designat</w:t>
      </w:r>
      <w:r w:rsidR="00B42260">
        <w:t>ed</w:t>
      </w:r>
      <w:r>
        <w:t>,” the entire $</w:t>
      </w:r>
      <w:r w:rsidR="004C2DCB">
        <w:t>36.3</w:t>
      </w:r>
      <w:r w:rsidR="000704A0">
        <w:t xml:space="preserve"> </w:t>
      </w:r>
      <w:r w:rsidR="001C27E0">
        <w:t>million</w:t>
      </w:r>
      <w:r>
        <w:t xml:space="preserve"> total</w:t>
      </w:r>
      <w:r w:rsidR="00B42260">
        <w:t xml:space="preserve"> qualifies</w:t>
      </w:r>
      <w:r>
        <w:t xml:space="preserve"> </w:t>
      </w:r>
      <w:r w:rsidR="00B42260">
        <w:t>a</w:t>
      </w:r>
      <w:r>
        <w:t xml:space="preserve">s unrestricted. Boards routinely designate funds at board meetings, and then complain that these funds are committed and beyond their control. </w:t>
      </w:r>
      <w:r w:rsidR="00B42260">
        <w:t>Any such allocation could represent</w:t>
      </w:r>
      <w:r>
        <w:t xml:space="preserve"> the Board’s attempt to look poor by tying </w:t>
      </w:r>
      <w:r w:rsidR="009B2BBF">
        <w:t>its</w:t>
      </w:r>
      <w:r>
        <w:t xml:space="preserve"> own hands. Board resolutions “designating” or “committing” funds can be just as easily undone by the Board.  </w:t>
      </w:r>
    </w:p>
    <w:p w:rsidR="002A29B6" w:rsidRDefault="002A29B6"/>
    <w:p w:rsidR="009B2BBF" w:rsidRDefault="002A29B6">
      <w:r w:rsidRPr="002A29B6">
        <w:t xml:space="preserve">Notice that the amounts designated </w:t>
      </w:r>
      <w:r w:rsidR="00332AAA">
        <w:t>often remain</w:t>
      </w:r>
      <w:r w:rsidRPr="002A29B6">
        <w:t xml:space="preserve"> unspent or grew during the study period. Designations reflect Board spending priorities. But when they go unspent, it leaves the importance of the project, as well as the designation itself, open to question. The amount left unallocated suggests</w:t>
      </w:r>
      <w:r w:rsidR="0020766D">
        <w:t xml:space="preserve"> </w:t>
      </w:r>
      <w:proofErr w:type="gramStart"/>
      <w:r w:rsidR="004C2DCB">
        <w:t>a 15</w:t>
      </w:r>
      <w:proofErr w:type="gramEnd"/>
      <w:r w:rsidRPr="002A29B6">
        <w:t>% fund equ</w:t>
      </w:r>
      <w:r w:rsidR="00332AAA">
        <w:t xml:space="preserve">ity, rather than the actual </w:t>
      </w:r>
      <w:r w:rsidR="004C2DCB">
        <w:t>26.7</w:t>
      </w:r>
      <w:r>
        <w:t>%</w:t>
      </w:r>
      <w:r w:rsidRPr="002A29B6">
        <w:t>.</w:t>
      </w:r>
    </w:p>
    <w:p w:rsidR="00D21C09" w:rsidRDefault="00D21C09" w:rsidP="00D21C09"/>
    <w:p w:rsidR="00D21C09" w:rsidRDefault="00D21C09" w:rsidP="00D21C09">
      <w:r>
        <w:t xml:space="preserve">College administrations typically prepare a General Fund </w:t>
      </w:r>
      <w:r w:rsidR="00E00C14">
        <w:t>PowerPoint</w:t>
      </w:r>
      <w:r>
        <w:t xml:space="preserve"> presentation that shows much lower fund balances than </w:t>
      </w:r>
      <w:r w:rsidR="00E00C14">
        <w:t>are</w:t>
      </w:r>
      <w:r>
        <w:t xml:space="preserve"> reflected in the audit. The difference between the unrestricted assets total found in the audit and this General Fund balance is almost always equal to the funds that have been designated, and are of</w:t>
      </w:r>
      <w:r w:rsidR="000704A0">
        <w:t>ten held in a Designated Fund</w:t>
      </w:r>
      <w:r w:rsidR="0042085E">
        <w:t xml:space="preserve"> and/or the Plant Fund</w:t>
      </w:r>
      <w:r w:rsidR="000704A0">
        <w:t xml:space="preserve">. </w:t>
      </w:r>
      <w:r w:rsidR="00B0658C">
        <w:t>The balances</w:t>
      </w:r>
      <w:r w:rsidR="000A7069">
        <w:t xml:space="preserve"> </w:t>
      </w:r>
      <w:r w:rsidR="00332AAA">
        <w:t>of these funds appear on page 6</w:t>
      </w:r>
      <w:r w:rsidR="004C2DCB">
        <w:t>5</w:t>
      </w:r>
      <w:r w:rsidR="00B0658C">
        <w:t xml:space="preserve"> of the 201</w:t>
      </w:r>
      <w:r w:rsidR="004C2DCB">
        <w:t>6</w:t>
      </w:r>
      <w:r w:rsidR="00B0658C">
        <w:t xml:space="preserve"> audit.</w:t>
      </w:r>
    </w:p>
    <w:p w:rsidR="000B3AB5" w:rsidRDefault="000B3AB5" w:rsidP="00D21C09"/>
    <w:p w:rsidR="000B3AB5" w:rsidRDefault="000B3AB5" w:rsidP="000B3AB5">
      <w:pPr>
        <w:autoSpaceDE w:val="0"/>
        <w:autoSpaceDN w:val="0"/>
        <w:adjustRightInd w:val="0"/>
      </w:pPr>
      <w:r>
        <w:t>Net Position is the total monetary value of the college</w:t>
      </w:r>
      <w:r w:rsidR="0020766D">
        <w:t xml:space="preserve"> and</w:t>
      </w:r>
      <w:r>
        <w:t xml:space="preserve"> </w:t>
      </w:r>
      <w:r w:rsidR="0020766D">
        <w:t>LCC’s increasing</w:t>
      </w:r>
      <w:r>
        <w:t xml:space="preserve"> </w:t>
      </w:r>
      <w:r w:rsidR="0042085E">
        <w:t>Net Position</w:t>
      </w:r>
      <w:r>
        <w:t xml:space="preserve"> suggests improving fiscal health. This is impressive given that this occurred during a period of falling revenues in a recession, but recoveries of this kind are often accomplished on the backs of employees.</w:t>
      </w:r>
    </w:p>
    <w:p w:rsidR="0042085E" w:rsidRDefault="0042085E" w:rsidP="000B3AB5">
      <w:pPr>
        <w:autoSpaceDE w:val="0"/>
        <w:autoSpaceDN w:val="0"/>
        <w:adjustRightInd w:val="0"/>
      </w:pPr>
    </w:p>
    <w:p w:rsidR="000B3AB5" w:rsidRDefault="000B3AB5" w:rsidP="000B3AB5">
      <w:pPr>
        <w:autoSpaceDE w:val="0"/>
        <w:autoSpaceDN w:val="0"/>
        <w:adjustRightInd w:val="0"/>
      </w:pPr>
      <w:r>
        <w:t>The administration suggests this period of belt tightening may be over:</w:t>
      </w:r>
    </w:p>
    <w:p w:rsidR="000B3AB5" w:rsidRDefault="000B3AB5" w:rsidP="000B3AB5">
      <w:pPr>
        <w:autoSpaceDE w:val="0"/>
        <w:autoSpaceDN w:val="0"/>
        <w:adjustRightInd w:val="0"/>
        <w:ind w:left="720"/>
      </w:pPr>
    </w:p>
    <w:p w:rsidR="00334A37" w:rsidRDefault="000B3AB5" w:rsidP="00334A37">
      <w:pPr>
        <w:autoSpaceDE w:val="0"/>
        <w:autoSpaceDN w:val="0"/>
        <w:adjustRightInd w:val="0"/>
        <w:ind w:left="720"/>
      </w:pPr>
      <w:r>
        <w:t xml:space="preserve">However, the drag from the manufacturing sector on Michigan's economy appears to have bottomed out and the recovery in vehicle sales nationally has helped Michigan's economic situation. Manufacturing employment in Michigan rose by </w:t>
      </w:r>
      <w:r w:rsidR="00334A37">
        <w:t xml:space="preserve">144,300 jobs (32.8%) </w:t>
      </w:r>
      <w:proofErr w:type="gramStart"/>
      <w:r w:rsidR="00334A37">
        <w:t>between June 2009, when the U.S. recession ended,</w:t>
      </w:r>
      <w:proofErr w:type="gramEnd"/>
    </w:p>
    <w:p w:rsidR="000B3AB5" w:rsidRDefault="00334A37" w:rsidP="00334A37">
      <w:pPr>
        <w:autoSpaceDE w:val="0"/>
        <w:autoSpaceDN w:val="0"/>
        <w:adjustRightInd w:val="0"/>
        <w:ind w:left="720"/>
      </w:pPr>
      <w:proofErr w:type="gramStart"/>
      <w:r>
        <w:t>and</w:t>
      </w:r>
      <w:proofErr w:type="gramEnd"/>
      <w:r>
        <w:t xml:space="preserve"> December 2014. </w:t>
      </w:r>
      <w:r w:rsidR="000B3AB5">
        <w:t>(201</w:t>
      </w:r>
      <w:r>
        <w:t>6</w:t>
      </w:r>
      <w:r w:rsidR="000B3AB5">
        <w:t xml:space="preserve"> Audit page 4</w:t>
      </w:r>
      <w:r w:rsidR="000B3AB5" w:rsidRPr="00407A37">
        <w:t>)</w:t>
      </w:r>
      <w:r w:rsidR="0042085E">
        <w:t xml:space="preserve"> This language appears verbatim in the 2014</w:t>
      </w:r>
      <w:r>
        <w:t xml:space="preserve"> and 2015</w:t>
      </w:r>
      <w:r w:rsidR="0042085E">
        <w:t xml:space="preserve"> audit</w:t>
      </w:r>
      <w:r>
        <w:t>s</w:t>
      </w:r>
      <w:r w:rsidR="0042085E">
        <w:t>, although the jobs figures have been updated.</w:t>
      </w:r>
    </w:p>
    <w:p w:rsidR="000B3AB5" w:rsidRDefault="000B3AB5" w:rsidP="000B3AB5">
      <w:pPr>
        <w:autoSpaceDE w:val="0"/>
        <w:autoSpaceDN w:val="0"/>
        <w:adjustRightInd w:val="0"/>
      </w:pPr>
    </w:p>
    <w:p w:rsidR="000B3AB5" w:rsidRDefault="00334A37" w:rsidP="000B3AB5">
      <w:pPr>
        <w:autoSpaceDE w:val="0"/>
        <w:autoSpaceDN w:val="0"/>
        <w:adjustRightInd w:val="0"/>
      </w:pPr>
      <w:r>
        <w:t>It</w:t>
      </w:r>
      <w:r w:rsidR="0020766D">
        <w:t xml:space="preserve"> </w:t>
      </w:r>
      <w:r w:rsidR="000B3AB5">
        <w:t xml:space="preserve">quotes a </w:t>
      </w:r>
      <w:r>
        <w:t>positive</w:t>
      </w:r>
      <w:r w:rsidR="000B3AB5">
        <w:t xml:space="preserve"> assessment by the Senate Fiscal Agency:</w:t>
      </w:r>
    </w:p>
    <w:p w:rsidR="000B3AB5" w:rsidRDefault="000B3AB5" w:rsidP="000B3AB5">
      <w:pPr>
        <w:autoSpaceDE w:val="0"/>
        <w:autoSpaceDN w:val="0"/>
        <w:adjustRightInd w:val="0"/>
      </w:pPr>
    </w:p>
    <w:p w:rsidR="00334A37" w:rsidRDefault="00334A37" w:rsidP="00334A37">
      <w:pPr>
        <w:autoSpaceDE w:val="0"/>
        <w:autoSpaceDN w:val="0"/>
        <w:adjustRightInd w:val="0"/>
        <w:ind w:left="720"/>
      </w:pPr>
      <w:r>
        <w:t>In Michigan, higher vehicle sales, stability in the housing market, and tepid national economy are expected to combine to lower the unemployment rate to 5.1% in both 2016 and 2017, and 5.0% in 2018, compared with the 5.4% unemployment rate in 2015. Improved vehicle sales and stronger profitability in</w:t>
      </w:r>
    </w:p>
    <w:p w:rsidR="000B3AB5" w:rsidRDefault="00334A37" w:rsidP="00334A37">
      <w:pPr>
        <w:autoSpaceDE w:val="0"/>
        <w:autoSpaceDN w:val="0"/>
        <w:adjustRightInd w:val="0"/>
        <w:ind w:left="720"/>
      </w:pPr>
      <w:r>
        <w:t>Michigan’s vehicle sector will provide stability to the Michigan employment situation.</w:t>
      </w:r>
    </w:p>
    <w:p w:rsidR="00334A37" w:rsidRDefault="00334A37" w:rsidP="00334A37">
      <w:pPr>
        <w:autoSpaceDE w:val="0"/>
        <w:autoSpaceDN w:val="0"/>
        <w:adjustRightInd w:val="0"/>
        <w:ind w:left="720"/>
      </w:pPr>
    </w:p>
    <w:p w:rsidR="000B3AB5" w:rsidRDefault="00334A37" w:rsidP="000B3AB5">
      <w:pPr>
        <w:autoSpaceDE w:val="0"/>
        <w:autoSpaceDN w:val="0"/>
        <w:adjustRightInd w:val="0"/>
      </w:pPr>
      <w:r>
        <w:t>T</w:t>
      </w:r>
      <w:r w:rsidR="000B3AB5">
        <w:t xml:space="preserve">he school has plans to </w:t>
      </w:r>
      <w:r>
        <w:t xml:space="preserve">continue </w:t>
      </w:r>
      <w:r w:rsidR="000B3AB5">
        <w:t>spend</w:t>
      </w:r>
      <w:r>
        <w:t>ing</w:t>
      </w:r>
      <w:r w:rsidR="000B3AB5">
        <w:t>:</w:t>
      </w:r>
    </w:p>
    <w:p w:rsidR="000B3AB5" w:rsidRDefault="000B3AB5" w:rsidP="000B3AB5">
      <w:pPr>
        <w:autoSpaceDE w:val="0"/>
        <w:autoSpaceDN w:val="0"/>
        <w:adjustRightInd w:val="0"/>
      </w:pPr>
    </w:p>
    <w:p w:rsidR="000B3AB5" w:rsidRDefault="00334A37" w:rsidP="00334A37">
      <w:pPr>
        <w:autoSpaceDE w:val="0"/>
        <w:autoSpaceDN w:val="0"/>
        <w:adjustRightInd w:val="0"/>
        <w:ind w:left="720"/>
      </w:pPr>
      <w:r>
        <w:t xml:space="preserve">Over the past four years, the Build Forward project fundamentally changed the student experience by creating a variety of dynamic and adaptable teaching, learning, and support environments. Build Forward was substantially completed in FY 2015-16 with final completion expected in FY 2016-17. </w:t>
      </w:r>
      <w:r w:rsidR="00A35F6F">
        <w:t>(201</w:t>
      </w:r>
      <w:r>
        <w:t>6</w:t>
      </w:r>
      <w:r w:rsidR="000B3AB5">
        <w:t xml:space="preserve"> Audit page 5</w:t>
      </w:r>
      <w:r w:rsidR="000B3AB5" w:rsidRPr="00407A37">
        <w:t>)</w:t>
      </w:r>
      <w:r w:rsidR="00A35F6F">
        <w:t xml:space="preserve"> </w:t>
      </w:r>
    </w:p>
    <w:p w:rsidR="000B3AB5" w:rsidRDefault="000B3AB5" w:rsidP="000B3AB5">
      <w:pPr>
        <w:autoSpaceDE w:val="0"/>
        <w:autoSpaceDN w:val="0"/>
        <w:adjustRightInd w:val="0"/>
        <w:ind w:left="720"/>
      </w:pPr>
    </w:p>
    <w:p w:rsidR="002F06DA" w:rsidRPr="00C80676" w:rsidRDefault="002F06DA">
      <w:pPr>
        <w:rPr>
          <w:rFonts w:ascii="Arial" w:hAnsi="Arial" w:cs="Arial"/>
          <w:b/>
        </w:rPr>
      </w:pPr>
      <w:r w:rsidRPr="00C80676">
        <w:rPr>
          <w:rFonts w:ascii="Arial" w:hAnsi="Arial" w:cs="Arial"/>
          <w:b/>
        </w:rPr>
        <w:t xml:space="preserve">A Word </w:t>
      </w:r>
      <w:proofErr w:type="gramStart"/>
      <w:r w:rsidRPr="00C80676">
        <w:rPr>
          <w:rFonts w:ascii="Arial" w:hAnsi="Arial" w:cs="Arial"/>
          <w:b/>
        </w:rPr>
        <w:t>About</w:t>
      </w:r>
      <w:proofErr w:type="gramEnd"/>
      <w:r w:rsidRPr="00C80676">
        <w:rPr>
          <w:rFonts w:ascii="Arial" w:hAnsi="Arial" w:cs="Arial"/>
          <w:b/>
        </w:rPr>
        <w:t xml:space="preserve"> Depreciation</w:t>
      </w:r>
    </w:p>
    <w:p w:rsidR="001C27E0" w:rsidRPr="00CE4804" w:rsidRDefault="001C27E0">
      <w:pPr>
        <w:rPr>
          <w:b/>
        </w:rPr>
      </w:pPr>
    </w:p>
    <w:p w:rsidR="002F06DA" w:rsidRDefault="002F06DA">
      <w:r>
        <w:t xml:space="preserve">GASB 35 requires that </w:t>
      </w:r>
      <w:r w:rsidR="00353A1B">
        <w:t>community college</w:t>
      </w:r>
      <w:r>
        <w:t xml:space="preserve"> audits conform t</w:t>
      </w:r>
      <w:r w:rsidR="00F20F48">
        <w:t>o business accounting standards</w:t>
      </w:r>
      <w:r>
        <w:t xml:space="preserve"> including the use of depreciation. </w:t>
      </w:r>
      <w:r w:rsidR="00CE4804">
        <w:t>C</w:t>
      </w:r>
      <w:r>
        <w:t xml:space="preserve">alculations in </w:t>
      </w:r>
      <w:r w:rsidR="00B42260">
        <w:t xml:space="preserve">the </w:t>
      </w:r>
      <w:r w:rsidR="00153389">
        <w:t>LC</w:t>
      </w:r>
      <w:r w:rsidR="002E7257">
        <w:t>C</w:t>
      </w:r>
      <w:r w:rsidR="002B024A">
        <w:t xml:space="preserve"> Finances</w:t>
      </w:r>
      <w:r w:rsidR="00B42260">
        <w:t xml:space="preserve"> report</w:t>
      </w:r>
      <w:r>
        <w:t xml:space="preserve"> include depreciation figures for this reason</w:t>
      </w:r>
      <w:r w:rsidR="00660E8F">
        <w:t>,</w:t>
      </w:r>
      <w:r>
        <w:t xml:space="preserve"> although depreciation expenses do not involve the actual expenditure of funds; they reflect the expenditure of assets, meaning the</w:t>
      </w:r>
      <w:r w:rsidR="00F20F48">
        <w:t>ir</w:t>
      </w:r>
      <w:r>
        <w:t xml:space="preserve"> </w:t>
      </w:r>
      <w:r w:rsidR="00CE4804">
        <w:t>decrease in</w:t>
      </w:r>
      <w:r>
        <w:t xml:space="preserve"> value.</w:t>
      </w:r>
    </w:p>
    <w:p w:rsidR="00E02407" w:rsidRDefault="00E02407"/>
    <w:p w:rsidR="00A64A39" w:rsidRPr="00B42260" w:rsidRDefault="00E02407">
      <w:r>
        <w:t xml:space="preserve">The depreciation expense can be seen as </w:t>
      </w:r>
      <w:r w:rsidR="00D77838">
        <w:t>a kind of</w:t>
      </w:r>
      <w:r>
        <w:t xml:space="preserve"> </w:t>
      </w:r>
      <w:r w:rsidR="00B0658C">
        <w:t xml:space="preserve">rough </w:t>
      </w:r>
      <w:r>
        <w:t xml:space="preserve">average amount spent on capital goods (buildings, equipment, etc.), in that it spreads the </w:t>
      </w:r>
      <w:r w:rsidR="00153389">
        <w:t>expensing</w:t>
      </w:r>
      <w:r>
        <w:t xml:space="preserve"> of these assets ove</w:t>
      </w:r>
      <w:r w:rsidR="00660E8F">
        <w:t>r their useful lives</w:t>
      </w:r>
      <w:r w:rsidR="00BE352A">
        <w:t xml:space="preserve">. Therefore, one can compare the listed </w:t>
      </w:r>
      <w:r>
        <w:t>depreciation expense to the amount actually spent on capital goods that year. If the actual spending exceeds the depreciation amount, especially during a period when the administration suggests funding is tight, this spending is susceptible to complaints.</w:t>
      </w:r>
      <w:r w:rsidR="00E86E46">
        <w:t xml:space="preserve"> </w:t>
      </w:r>
      <w:r w:rsidR="000704A0">
        <w:t>In this case</w:t>
      </w:r>
      <w:r w:rsidR="000A3763">
        <w:t>,</w:t>
      </w:r>
      <w:r w:rsidR="000704A0">
        <w:t xml:space="preserve"> </w:t>
      </w:r>
      <w:r w:rsidR="00F801EC">
        <w:t xml:space="preserve">the capital spending amounts have varied </w:t>
      </w:r>
      <w:r w:rsidR="00153389">
        <w:t xml:space="preserve">a bit, but were always well below the depreciation </w:t>
      </w:r>
      <w:r w:rsidR="000A7069">
        <w:t xml:space="preserve">(see “Capital additions” listed below Total Expenses on Page 2 of the study) </w:t>
      </w:r>
      <w:r w:rsidR="00153389">
        <w:t xml:space="preserve">suggesting </w:t>
      </w:r>
      <w:r w:rsidR="002001FC">
        <w:t>capital spending is lower than long term averages</w:t>
      </w:r>
      <w:r w:rsidR="00153389">
        <w:t>.</w:t>
      </w:r>
      <w:r w:rsidR="00DE1B78">
        <w:t xml:space="preserve"> </w:t>
      </w:r>
      <w:r w:rsidR="00C83B59">
        <w:t xml:space="preserve">The audit shows nearly all of this spending </w:t>
      </w:r>
      <w:r w:rsidR="002001FC">
        <w:t xml:space="preserve">in 2016 </w:t>
      </w:r>
      <w:r w:rsidR="00C83B59">
        <w:t xml:space="preserve">was for “Furniture and equipment” </w:t>
      </w:r>
      <w:r w:rsidR="0004441C">
        <w:t>(</w:t>
      </w:r>
      <w:r w:rsidR="00373F9B">
        <w:t>201</w:t>
      </w:r>
      <w:r w:rsidR="002001FC">
        <w:t>6</w:t>
      </w:r>
      <w:r w:rsidR="0004441C">
        <w:t xml:space="preserve"> Audit page</w:t>
      </w:r>
      <w:r w:rsidR="002001FC">
        <w:t xml:space="preserve"> 37</w:t>
      </w:r>
      <w:proofErr w:type="gramStart"/>
      <w:r w:rsidR="0004441C">
        <w:t>)</w:t>
      </w:r>
      <w:proofErr w:type="gramEnd"/>
      <w:r w:rsidR="00A64A39">
        <w:br w:type="page"/>
      </w:r>
      <w:r w:rsidR="00A64A39" w:rsidRPr="00972252">
        <w:rPr>
          <w:b/>
          <w:sz w:val="32"/>
          <w:szCs w:val="32"/>
        </w:rPr>
        <w:lastRenderedPageBreak/>
        <w:t>Typical Expense Categories Described</w:t>
      </w:r>
    </w:p>
    <w:p w:rsidR="00A64A39" w:rsidRDefault="00EC6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right="720"/>
        <w:rPr>
          <w:b/>
        </w:rPr>
      </w:pPr>
      <w:r>
        <w:rPr>
          <w:b/>
        </w:rPr>
        <w:pict>
          <v:rect id="_x0000_i1025" style="width:0;height:1.5pt" o:hralign="center" o:hrstd="t" o:hr="t" fillcolor="gray" stroked="f"/>
        </w:pict>
      </w:r>
    </w:p>
    <w:p w:rsidR="00972252" w:rsidRDefault="009722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right="720"/>
        <w:rPr>
          <w:b/>
        </w:rPr>
      </w:pPr>
    </w:p>
    <w:p w:rsidR="00972252" w:rsidRDefault="009722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right="720"/>
        <w:rPr>
          <w:b/>
        </w:rPr>
      </w:pPr>
    </w:p>
    <w:p w:rsidR="00A64A39" w:rsidRDefault="00A6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right="720"/>
        <w:rPr>
          <w:b/>
        </w:rPr>
      </w:pPr>
    </w:p>
    <w:p w:rsidR="00A64A39" w:rsidRPr="00972252" w:rsidRDefault="00A64A39" w:rsidP="00972252">
      <w:r w:rsidRPr="00972252">
        <w:rPr>
          <w:b/>
        </w:rPr>
        <w:t>Instruction</w:t>
      </w:r>
      <w:r w:rsidRPr="00972252">
        <w:t xml:space="preserve"> – Can include spending for credit or noncredit academic, occupational, or vocational regular, special, or extension classes.  It also includes departmental chairperson and office costs. Departmental research and public services are categorized separately.</w:t>
      </w:r>
    </w:p>
    <w:p w:rsidR="00A64A39" w:rsidRPr="00972252" w:rsidRDefault="00A64A39" w:rsidP="00972252"/>
    <w:p w:rsidR="00A64A39" w:rsidRPr="00972252" w:rsidRDefault="00A64A39" w:rsidP="00972252">
      <w:r w:rsidRPr="00972252">
        <w:rPr>
          <w:b/>
        </w:rPr>
        <w:t>Academic/Instructional Support</w:t>
      </w:r>
      <w:r w:rsidRPr="00972252">
        <w:t xml:space="preserve"> - Includes expenditures for materials and staff for libraries, audio visual and computer services, the academic offices support staff (including academic deans) and sometimes the personnel department.</w:t>
      </w:r>
    </w:p>
    <w:p w:rsidR="00A64A39" w:rsidRPr="00972252" w:rsidRDefault="00A64A39" w:rsidP="00972252"/>
    <w:p w:rsidR="00A64A39" w:rsidRPr="00972252" w:rsidRDefault="00A64A39" w:rsidP="00972252">
      <w:r w:rsidRPr="00972252">
        <w:rPr>
          <w:b/>
        </w:rPr>
        <w:t>Institutional Support/Administration</w:t>
      </w:r>
      <w:r w:rsidRPr="00972252">
        <w:t xml:space="preserve"> – Includes spending for central executive management and board staff and programs including legal services, fiscal operations, employee personnel, and community and alumni relations. </w:t>
      </w:r>
    </w:p>
    <w:p w:rsidR="00A64A39" w:rsidRPr="00972252" w:rsidRDefault="00A64A39" w:rsidP="00972252"/>
    <w:p w:rsidR="00A64A39" w:rsidRPr="00972252" w:rsidRDefault="00A64A39" w:rsidP="00972252">
      <w:r w:rsidRPr="00972252">
        <w:rPr>
          <w:b/>
        </w:rPr>
        <w:t>Student Services</w:t>
      </w:r>
      <w:r w:rsidRPr="00972252">
        <w:t xml:space="preserve"> – Can include expenditures for operations that enhance students’ intellectual, cultural, emotional and physical well being outside the classroom: student admissions and registrar; academic advising; student career counseling, records, financial aid administration and health services; and occasionally athletics. It can also include the student newspaper and other student organizations.</w:t>
      </w:r>
    </w:p>
    <w:p w:rsidR="00A64A39" w:rsidRPr="00972252" w:rsidRDefault="00A64A39" w:rsidP="00972252"/>
    <w:p w:rsidR="00A64A39" w:rsidRPr="00972252" w:rsidRDefault="00A64A39" w:rsidP="00972252">
      <w:r w:rsidRPr="00972252">
        <w:rPr>
          <w:b/>
        </w:rPr>
        <w:t>Public Service</w:t>
      </w:r>
      <w:r w:rsidRPr="00972252">
        <w:t xml:space="preserve"> – Spending that qualifies for inclusion here includes any expended for </w:t>
      </w:r>
      <w:proofErr w:type="spellStart"/>
      <w:r w:rsidRPr="00972252">
        <w:t>noninstructional</w:t>
      </w:r>
      <w:proofErr w:type="spellEnd"/>
      <w:r w:rsidRPr="00972252">
        <w:t xml:space="preserve"> services external to the school. These can include workshops and seminars, community services and broadcasting services (not including student stations), and cooperative extension services</w:t>
      </w:r>
    </w:p>
    <w:sectPr w:rsidR="00A64A39" w:rsidRPr="00972252" w:rsidSect="005C7247">
      <w:headerReference w:type="default"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DC" w:rsidRDefault="00EC67DC">
      <w:r>
        <w:separator/>
      </w:r>
    </w:p>
  </w:endnote>
  <w:endnote w:type="continuationSeparator" w:id="0">
    <w:p w:rsidR="00EC67DC" w:rsidRDefault="00E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C7" w:rsidRDefault="00CC37C7">
    <w:pPr>
      <w:pStyle w:val="Footer"/>
      <w:pBdr>
        <w:top w:val="single" w:sz="4" w:space="1" w:color="auto"/>
      </w:pBdr>
      <w:rPr>
        <w:rFonts w:ascii="Arial" w:hAnsi="Arial" w:cs="Arial"/>
        <w:sz w:val="16"/>
      </w:rPr>
    </w:pPr>
    <w:r>
      <w:rPr>
        <w:rFonts w:ascii="Arial" w:hAnsi="Arial" w:cs="Arial"/>
        <w:sz w:val="16"/>
      </w:rPr>
      <w:t>Greg Steimel</w:t>
    </w:r>
    <w:r w:rsidR="00413D9B">
      <w:rPr>
        <w:rFonts w:ascii="Arial" w:hAnsi="Arial" w:cs="Arial"/>
        <w:sz w:val="16"/>
      </w:rPr>
      <w:t>, MEA Research</w:t>
    </w:r>
    <w:r>
      <w:rPr>
        <w:rFonts w:ascii="Arial" w:hAnsi="Arial" w:cs="Arial"/>
        <w:sz w:val="16"/>
      </w:rPr>
      <w:tab/>
      <w:t xml:space="preserve">Page </w:t>
    </w:r>
    <w:r w:rsidR="00123A3F">
      <w:rPr>
        <w:rStyle w:val="PageNumber"/>
        <w:rFonts w:ascii="Arial" w:hAnsi="Arial" w:cs="Arial"/>
        <w:sz w:val="16"/>
      </w:rPr>
      <w:fldChar w:fldCharType="begin"/>
    </w:r>
    <w:r>
      <w:rPr>
        <w:rStyle w:val="PageNumber"/>
        <w:rFonts w:ascii="Arial" w:hAnsi="Arial" w:cs="Arial"/>
        <w:sz w:val="16"/>
      </w:rPr>
      <w:instrText xml:space="preserve"> PAGE </w:instrText>
    </w:r>
    <w:r w:rsidR="00123A3F">
      <w:rPr>
        <w:rStyle w:val="PageNumber"/>
        <w:rFonts w:ascii="Arial" w:hAnsi="Arial" w:cs="Arial"/>
        <w:sz w:val="16"/>
      </w:rPr>
      <w:fldChar w:fldCharType="separate"/>
    </w:r>
    <w:r w:rsidR="00481D91">
      <w:rPr>
        <w:rStyle w:val="PageNumber"/>
        <w:rFonts w:ascii="Arial" w:hAnsi="Arial" w:cs="Arial"/>
        <w:noProof/>
        <w:sz w:val="16"/>
      </w:rPr>
      <w:t>2</w:t>
    </w:r>
    <w:r w:rsidR="00123A3F">
      <w:rPr>
        <w:rStyle w:val="PageNumber"/>
        <w:rFonts w:ascii="Arial" w:hAnsi="Arial" w:cs="Arial"/>
        <w:sz w:val="16"/>
      </w:rPr>
      <w:fldChar w:fldCharType="end"/>
    </w:r>
    <w:r>
      <w:rPr>
        <w:rFonts w:ascii="Arial" w:hAnsi="Arial" w:cs="Arial"/>
        <w:sz w:val="16"/>
      </w:rPr>
      <w:tab/>
    </w:r>
  </w:p>
  <w:p w:rsidR="00CC37C7" w:rsidRDefault="00CC37C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DC" w:rsidRDefault="00EC67DC">
      <w:r>
        <w:separator/>
      </w:r>
    </w:p>
  </w:footnote>
  <w:footnote w:type="continuationSeparator" w:id="0">
    <w:p w:rsidR="00EC67DC" w:rsidRDefault="00EC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C7" w:rsidRDefault="00CC37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7AAC"/>
    <w:multiLevelType w:val="hybridMultilevel"/>
    <w:tmpl w:val="C6043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8D"/>
    <w:rsid w:val="00003472"/>
    <w:rsid w:val="0004441C"/>
    <w:rsid w:val="00062C87"/>
    <w:rsid w:val="000704A0"/>
    <w:rsid w:val="000A2B28"/>
    <w:rsid w:val="000A3763"/>
    <w:rsid w:val="000A7069"/>
    <w:rsid w:val="000B3AB5"/>
    <w:rsid w:val="000B4129"/>
    <w:rsid w:val="000F447A"/>
    <w:rsid w:val="00112F2D"/>
    <w:rsid w:val="00123A3F"/>
    <w:rsid w:val="00126FA0"/>
    <w:rsid w:val="00142D2D"/>
    <w:rsid w:val="00153389"/>
    <w:rsid w:val="00154750"/>
    <w:rsid w:val="001616C7"/>
    <w:rsid w:val="00182691"/>
    <w:rsid w:val="001C0DE1"/>
    <w:rsid w:val="001C27E0"/>
    <w:rsid w:val="002001FC"/>
    <w:rsid w:val="00203F9E"/>
    <w:rsid w:val="0020766D"/>
    <w:rsid w:val="0021325F"/>
    <w:rsid w:val="002279C3"/>
    <w:rsid w:val="0024284C"/>
    <w:rsid w:val="002428BC"/>
    <w:rsid w:val="00253DAC"/>
    <w:rsid w:val="002614E7"/>
    <w:rsid w:val="00264287"/>
    <w:rsid w:val="00291E1C"/>
    <w:rsid w:val="002972F8"/>
    <w:rsid w:val="002A29B6"/>
    <w:rsid w:val="002A7B1E"/>
    <w:rsid w:val="002B024A"/>
    <w:rsid w:val="002D1EF9"/>
    <w:rsid w:val="002E7257"/>
    <w:rsid w:val="002F06DA"/>
    <w:rsid w:val="002F182C"/>
    <w:rsid w:val="00303FD8"/>
    <w:rsid w:val="00332AAA"/>
    <w:rsid w:val="003345C4"/>
    <w:rsid w:val="003345F8"/>
    <w:rsid w:val="00334A37"/>
    <w:rsid w:val="00353A1B"/>
    <w:rsid w:val="00357D43"/>
    <w:rsid w:val="00362BA1"/>
    <w:rsid w:val="00373F9B"/>
    <w:rsid w:val="00384C91"/>
    <w:rsid w:val="003B487A"/>
    <w:rsid w:val="003C482D"/>
    <w:rsid w:val="003C77C1"/>
    <w:rsid w:val="00407A37"/>
    <w:rsid w:val="004119C2"/>
    <w:rsid w:val="00413D9B"/>
    <w:rsid w:val="0042085E"/>
    <w:rsid w:val="00452211"/>
    <w:rsid w:val="00454D63"/>
    <w:rsid w:val="00457F72"/>
    <w:rsid w:val="00481D91"/>
    <w:rsid w:val="004A066E"/>
    <w:rsid w:val="004A1CEB"/>
    <w:rsid w:val="004B6504"/>
    <w:rsid w:val="004C2DCB"/>
    <w:rsid w:val="004D18BD"/>
    <w:rsid w:val="004E5DDD"/>
    <w:rsid w:val="005208A6"/>
    <w:rsid w:val="00530EBF"/>
    <w:rsid w:val="0053143D"/>
    <w:rsid w:val="0054769E"/>
    <w:rsid w:val="005561A0"/>
    <w:rsid w:val="00562DE2"/>
    <w:rsid w:val="005C7247"/>
    <w:rsid w:val="005F7A97"/>
    <w:rsid w:val="00606B8B"/>
    <w:rsid w:val="00617A2C"/>
    <w:rsid w:val="00621F8E"/>
    <w:rsid w:val="0062493C"/>
    <w:rsid w:val="00627C70"/>
    <w:rsid w:val="006447B1"/>
    <w:rsid w:val="00660E8F"/>
    <w:rsid w:val="00665FF6"/>
    <w:rsid w:val="006907B6"/>
    <w:rsid w:val="006B7532"/>
    <w:rsid w:val="006F4642"/>
    <w:rsid w:val="007139C5"/>
    <w:rsid w:val="00732CB0"/>
    <w:rsid w:val="007D3D30"/>
    <w:rsid w:val="007E046F"/>
    <w:rsid w:val="007F3222"/>
    <w:rsid w:val="00801D7F"/>
    <w:rsid w:val="00810BE3"/>
    <w:rsid w:val="00824640"/>
    <w:rsid w:val="008247E5"/>
    <w:rsid w:val="008425C5"/>
    <w:rsid w:val="008558FA"/>
    <w:rsid w:val="00855A1B"/>
    <w:rsid w:val="00865CC8"/>
    <w:rsid w:val="00866E78"/>
    <w:rsid w:val="008B2E42"/>
    <w:rsid w:val="008B3FBC"/>
    <w:rsid w:val="008B7318"/>
    <w:rsid w:val="008F182A"/>
    <w:rsid w:val="008F3521"/>
    <w:rsid w:val="00932384"/>
    <w:rsid w:val="00940E89"/>
    <w:rsid w:val="009440C3"/>
    <w:rsid w:val="00946F98"/>
    <w:rsid w:val="00972252"/>
    <w:rsid w:val="00984EF3"/>
    <w:rsid w:val="00995749"/>
    <w:rsid w:val="0099673B"/>
    <w:rsid w:val="009A02A2"/>
    <w:rsid w:val="009A1575"/>
    <w:rsid w:val="009B2BBF"/>
    <w:rsid w:val="009B7BBD"/>
    <w:rsid w:val="00A35F6F"/>
    <w:rsid w:val="00A41C93"/>
    <w:rsid w:val="00A47580"/>
    <w:rsid w:val="00A50DBE"/>
    <w:rsid w:val="00A538C2"/>
    <w:rsid w:val="00A64A39"/>
    <w:rsid w:val="00A7506C"/>
    <w:rsid w:val="00AB7BE6"/>
    <w:rsid w:val="00AC38ED"/>
    <w:rsid w:val="00B0658C"/>
    <w:rsid w:val="00B42260"/>
    <w:rsid w:val="00B47FA0"/>
    <w:rsid w:val="00BE352A"/>
    <w:rsid w:val="00C4692B"/>
    <w:rsid w:val="00C60568"/>
    <w:rsid w:val="00C70B0F"/>
    <w:rsid w:val="00C75FA0"/>
    <w:rsid w:val="00C80676"/>
    <w:rsid w:val="00C83B59"/>
    <w:rsid w:val="00C93906"/>
    <w:rsid w:val="00CA1DC5"/>
    <w:rsid w:val="00CA2D9E"/>
    <w:rsid w:val="00CC37C7"/>
    <w:rsid w:val="00CD396D"/>
    <w:rsid w:val="00CE4804"/>
    <w:rsid w:val="00CE7211"/>
    <w:rsid w:val="00D21C09"/>
    <w:rsid w:val="00D668B4"/>
    <w:rsid w:val="00D701C6"/>
    <w:rsid w:val="00D77838"/>
    <w:rsid w:val="00D9358F"/>
    <w:rsid w:val="00DA176B"/>
    <w:rsid w:val="00DA2B70"/>
    <w:rsid w:val="00DC64C2"/>
    <w:rsid w:val="00DD06AF"/>
    <w:rsid w:val="00DD4D96"/>
    <w:rsid w:val="00DD6462"/>
    <w:rsid w:val="00DE1B78"/>
    <w:rsid w:val="00DE680F"/>
    <w:rsid w:val="00DF1FD1"/>
    <w:rsid w:val="00E00C14"/>
    <w:rsid w:val="00E02407"/>
    <w:rsid w:val="00E0428A"/>
    <w:rsid w:val="00E30009"/>
    <w:rsid w:val="00E3170A"/>
    <w:rsid w:val="00E31CBC"/>
    <w:rsid w:val="00E422F3"/>
    <w:rsid w:val="00E42AAF"/>
    <w:rsid w:val="00E45E91"/>
    <w:rsid w:val="00E50544"/>
    <w:rsid w:val="00E63803"/>
    <w:rsid w:val="00E705D4"/>
    <w:rsid w:val="00E86E46"/>
    <w:rsid w:val="00EC67DC"/>
    <w:rsid w:val="00EE7415"/>
    <w:rsid w:val="00F16A73"/>
    <w:rsid w:val="00F20F48"/>
    <w:rsid w:val="00F30B8D"/>
    <w:rsid w:val="00F63C64"/>
    <w:rsid w:val="00F70755"/>
    <w:rsid w:val="00F801EC"/>
    <w:rsid w:val="00F81D64"/>
    <w:rsid w:val="00F9017F"/>
    <w:rsid w:val="00FA2E74"/>
    <w:rsid w:val="00FA58BF"/>
    <w:rsid w:val="00FF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2F3"/>
    <w:rPr>
      <w:sz w:val="24"/>
      <w:szCs w:val="24"/>
    </w:rPr>
  </w:style>
  <w:style w:type="paragraph" w:styleId="Heading1">
    <w:name w:val="heading 1"/>
    <w:basedOn w:val="Normal"/>
    <w:next w:val="Normal"/>
    <w:qFormat/>
    <w:rsid w:val="005C724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247"/>
    <w:pPr>
      <w:tabs>
        <w:tab w:val="center" w:pos="4320"/>
        <w:tab w:val="right" w:pos="8640"/>
      </w:tabs>
    </w:pPr>
  </w:style>
  <w:style w:type="paragraph" w:styleId="Footer">
    <w:name w:val="footer"/>
    <w:basedOn w:val="Normal"/>
    <w:rsid w:val="005C7247"/>
    <w:pPr>
      <w:tabs>
        <w:tab w:val="center" w:pos="4320"/>
        <w:tab w:val="right" w:pos="8640"/>
      </w:tabs>
    </w:pPr>
  </w:style>
  <w:style w:type="character" w:styleId="PageNumber">
    <w:name w:val="page number"/>
    <w:basedOn w:val="DefaultParagraphFont"/>
    <w:rsid w:val="005C7247"/>
  </w:style>
  <w:style w:type="paragraph" w:styleId="BalloonText">
    <w:name w:val="Balloon Text"/>
    <w:basedOn w:val="Normal"/>
    <w:semiHidden/>
    <w:rsid w:val="00842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2F3"/>
    <w:rPr>
      <w:sz w:val="24"/>
      <w:szCs w:val="24"/>
    </w:rPr>
  </w:style>
  <w:style w:type="paragraph" w:styleId="Heading1">
    <w:name w:val="heading 1"/>
    <w:basedOn w:val="Normal"/>
    <w:next w:val="Normal"/>
    <w:qFormat/>
    <w:rsid w:val="005C724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247"/>
    <w:pPr>
      <w:tabs>
        <w:tab w:val="center" w:pos="4320"/>
        <w:tab w:val="right" w:pos="8640"/>
      </w:tabs>
    </w:pPr>
  </w:style>
  <w:style w:type="paragraph" w:styleId="Footer">
    <w:name w:val="footer"/>
    <w:basedOn w:val="Normal"/>
    <w:rsid w:val="005C7247"/>
    <w:pPr>
      <w:tabs>
        <w:tab w:val="center" w:pos="4320"/>
        <w:tab w:val="right" w:pos="8640"/>
      </w:tabs>
    </w:pPr>
  </w:style>
  <w:style w:type="character" w:styleId="PageNumber">
    <w:name w:val="page number"/>
    <w:basedOn w:val="DefaultParagraphFont"/>
    <w:rsid w:val="005C7247"/>
  </w:style>
  <w:style w:type="paragraph" w:styleId="BalloonText">
    <w:name w:val="Balloon Text"/>
    <w:basedOn w:val="Normal"/>
    <w:semiHidden/>
    <w:rsid w:val="0084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6498">
      <w:bodyDiv w:val="1"/>
      <w:marLeft w:val="0"/>
      <w:marRight w:val="0"/>
      <w:marTop w:val="0"/>
      <w:marBottom w:val="0"/>
      <w:divBdr>
        <w:top w:val="none" w:sz="0" w:space="0" w:color="auto"/>
        <w:left w:val="none" w:sz="0" w:space="0" w:color="auto"/>
        <w:bottom w:val="none" w:sz="0" w:space="0" w:color="auto"/>
        <w:right w:val="none" w:sz="0" w:space="0" w:color="auto"/>
      </w:divBdr>
    </w:div>
    <w:div w:id="706224360">
      <w:bodyDiv w:val="1"/>
      <w:marLeft w:val="0"/>
      <w:marRight w:val="0"/>
      <w:marTop w:val="0"/>
      <w:marBottom w:val="0"/>
      <w:divBdr>
        <w:top w:val="none" w:sz="0" w:space="0" w:color="auto"/>
        <w:left w:val="none" w:sz="0" w:space="0" w:color="auto"/>
        <w:bottom w:val="none" w:sz="0" w:space="0" w:color="auto"/>
        <w:right w:val="none" w:sz="0" w:space="0" w:color="auto"/>
      </w:divBdr>
    </w:div>
    <w:div w:id="975184380">
      <w:bodyDiv w:val="1"/>
      <w:marLeft w:val="0"/>
      <w:marRight w:val="0"/>
      <w:marTop w:val="0"/>
      <w:marBottom w:val="0"/>
      <w:divBdr>
        <w:top w:val="none" w:sz="0" w:space="0" w:color="auto"/>
        <w:left w:val="none" w:sz="0" w:space="0" w:color="auto"/>
        <w:bottom w:val="none" w:sz="0" w:space="0" w:color="auto"/>
        <w:right w:val="none" w:sz="0" w:space="0" w:color="auto"/>
      </w:divBdr>
    </w:div>
    <w:div w:id="1447047148">
      <w:bodyDiv w:val="1"/>
      <w:marLeft w:val="0"/>
      <w:marRight w:val="0"/>
      <w:marTop w:val="0"/>
      <w:marBottom w:val="0"/>
      <w:divBdr>
        <w:top w:val="none" w:sz="0" w:space="0" w:color="auto"/>
        <w:left w:val="none" w:sz="0" w:space="0" w:color="auto"/>
        <w:bottom w:val="none" w:sz="0" w:space="0" w:color="auto"/>
        <w:right w:val="none" w:sz="0" w:space="0" w:color="auto"/>
      </w:divBdr>
    </w:div>
    <w:div w:id="15737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MEA</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Steimel</dc:creator>
  <cp:lastModifiedBy>LCC-MAHE</cp:lastModifiedBy>
  <cp:revision>3</cp:revision>
  <cp:lastPrinted>2016-11-07T19:32:00Z</cp:lastPrinted>
  <dcterms:created xsi:type="dcterms:W3CDTF">2016-11-07T19:32:00Z</dcterms:created>
  <dcterms:modified xsi:type="dcterms:W3CDTF">2016-11-08T14:06:00Z</dcterms:modified>
</cp:coreProperties>
</file>